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bCs/>
          <w:color w:val="FF0000"/>
          <w:sz w:val="36"/>
          <w:szCs w:val="36"/>
        </w:rPr>
      </w:pPr>
      <w:r>
        <w:rPr>
          <w:rFonts w:hint="eastAsia" w:ascii="Arial Black" w:hAnsi="Arial Black" w:eastAsia="微软雅黑" w:cs="Arial Black"/>
          <w:b/>
          <w:bCs/>
          <w:color w:val="FF0000"/>
          <w:sz w:val="36"/>
          <w:szCs w:val="36"/>
          <w:lang w:val="en-US" w:eastAsia="zh-CN"/>
        </w:rPr>
        <w:t>GJB</w:t>
      </w:r>
      <w:r>
        <w:rPr>
          <w:rFonts w:ascii="Arial Black" w:hAnsi="Arial Black" w:eastAsia="微软雅黑" w:cs="Arial Black"/>
          <w:b/>
          <w:bCs/>
          <w:color w:val="FF0000"/>
          <w:sz w:val="36"/>
          <w:szCs w:val="36"/>
        </w:rPr>
        <w:t>9001</w:t>
      </w:r>
      <w:r>
        <w:rPr>
          <w:rFonts w:hint="eastAsia" w:ascii="Arial Black" w:hAnsi="Arial Black" w:eastAsia="微软雅黑" w:cs="Arial Black"/>
          <w:b/>
          <w:bCs/>
          <w:color w:val="FF0000"/>
          <w:sz w:val="36"/>
          <w:szCs w:val="36"/>
          <w:lang w:val="en-US" w:eastAsia="zh-CN"/>
        </w:rPr>
        <w:t>C</w:t>
      </w:r>
      <w:r>
        <w:rPr>
          <w:rFonts w:ascii="Arial Black" w:hAnsi="Arial Black" w:eastAsia="微软雅黑" w:cs="Arial Black"/>
          <w:b/>
          <w:bCs/>
          <w:color w:val="FF0000"/>
          <w:sz w:val="36"/>
          <w:szCs w:val="36"/>
        </w:rPr>
        <w:t>:201</w:t>
      </w:r>
      <w:r>
        <w:rPr>
          <w:rFonts w:hint="eastAsia" w:ascii="Arial Black" w:hAnsi="Arial Black" w:eastAsia="微软雅黑" w:cs="Arial Black"/>
          <w:b/>
          <w:bCs/>
          <w:color w:val="FF0000"/>
          <w:sz w:val="36"/>
          <w:szCs w:val="36"/>
          <w:lang w:val="en-US" w:eastAsia="zh-CN"/>
        </w:rPr>
        <w:t>7武器装备</w:t>
      </w:r>
      <w:r>
        <w:rPr>
          <w:rFonts w:hint="eastAsia" w:ascii="微软雅黑" w:hAnsi="微软雅黑" w:eastAsia="微软雅黑" w:cs="微软雅黑"/>
          <w:b/>
          <w:bCs/>
          <w:color w:val="FF0000"/>
          <w:sz w:val="36"/>
          <w:szCs w:val="36"/>
        </w:rPr>
        <w:t xml:space="preserve">质量管理体系  </w:t>
      </w:r>
    </w:p>
    <w:p>
      <w:pPr>
        <w:jc w:val="center"/>
        <w:rPr>
          <w:rFonts w:ascii="微软雅黑" w:hAnsi="微软雅黑" w:eastAsia="微软雅黑" w:cs="微软雅黑"/>
          <w:b/>
          <w:bCs/>
          <w:color w:val="FF0000"/>
          <w:sz w:val="36"/>
          <w:szCs w:val="36"/>
        </w:rPr>
      </w:pPr>
      <w:r>
        <w:rPr>
          <w:rFonts w:hint="eastAsia" w:ascii="微软雅黑" w:hAnsi="微软雅黑" w:eastAsia="微软雅黑" w:cs="微软雅黑"/>
          <w:b/>
          <w:bCs/>
          <w:color w:val="FF0000"/>
          <w:sz w:val="36"/>
          <w:szCs w:val="36"/>
        </w:rPr>
        <w:t xml:space="preserve"> 内审员高级研修班</w:t>
      </w:r>
      <w:r>
        <w:rPr>
          <w:sz w:val="36"/>
          <w:szCs w:val="36"/>
        </w:rPr>
        <mc:AlternateContent>
          <mc:Choice Requires="wps">
            <w:drawing>
              <wp:anchor distT="0" distB="0" distL="114300" distR="114300" simplePos="0" relativeHeight="251659264" behindDoc="0" locked="0" layoutInCell="1" allowOverlap="1">
                <wp:simplePos x="0" y="0"/>
                <wp:positionH relativeFrom="column">
                  <wp:posOffset>-1062990</wp:posOffset>
                </wp:positionH>
                <wp:positionV relativeFrom="paragraph">
                  <wp:posOffset>387985</wp:posOffset>
                </wp:positionV>
                <wp:extent cx="7505700" cy="0"/>
                <wp:effectExtent l="0" t="19050" r="0" b="19050"/>
                <wp:wrapNone/>
                <wp:docPr id="1" name="直接连接符 1"/>
                <wp:cNvGraphicFramePr/>
                <a:graphic xmlns:a="http://schemas.openxmlformats.org/drawingml/2006/main">
                  <a:graphicData uri="http://schemas.microsoft.com/office/word/2010/wordprocessingShape">
                    <wps:wsp>
                      <wps:cNvCnPr/>
                      <wps:spPr>
                        <a:xfrm>
                          <a:off x="51435" y="1925320"/>
                          <a:ext cx="7505700" cy="0"/>
                        </a:xfrm>
                        <a:prstGeom prst="line">
                          <a:avLst/>
                        </a:prstGeom>
                        <a:ln w="38100">
                          <a:solidFill>
                            <a:srgbClr val="0000FF"/>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83.7pt;margin-top:30.55pt;height:0pt;width:591pt;z-index:251659264;mso-width-relative:page;mso-height-relative:page;" filled="f" stroked="t" coordsize="21600,21600" o:gfxdata="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EhfY3XAAAACwEAAA8AAAAAAAAAAQAgAAAAIgAAAGRycy9kb3ducmV2LnhtbFBLAQIUABQA&#10;AAAIAIdO4kAgH1Dz8QEAALwDAAAOAAAAAAAAAAEAIAAAACYBAABkcnMvZTJvRG9jLnhtbFBLBQYA&#10;AAAABgAGAFkBAACJBQAAAAA=&#10;">
                <v:fill on="f" focussize="0,0"/>
                <v:stroke weight="3pt" color="#0000FF [3204]" miterlimit="8" joinstyle="miter"/>
                <v:imagedata o:title=""/>
                <o:lock v:ext="edit" aspectratio="f"/>
              </v:line>
            </w:pict>
          </mc:Fallback>
        </mc:AlternateContent>
      </w:r>
      <w:r>
        <w:rPr>
          <w:rFonts w:hint="eastAsia" w:ascii="微软雅黑" w:hAnsi="微软雅黑" w:eastAsia="微软雅黑" w:cs="微软雅黑"/>
          <w:b/>
          <w:bCs/>
          <w:color w:val="FF0000"/>
          <w:sz w:val="36"/>
          <w:szCs w:val="36"/>
        </w:rPr>
        <w:t xml:space="preserve"> </w:t>
      </w:r>
    </w:p>
    <w:p>
      <w:pPr>
        <w:spacing w:before="60" w:after="60" w:line="240" w:lineRule="auto"/>
        <w:jc w:val="left"/>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pPr>
      <w:r>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t>【课程背景】</w:t>
      </w:r>
    </w:p>
    <w:p>
      <w:pPr>
        <w:spacing w:before="80" w:line="240" w:lineRule="auto"/>
        <w:ind w:firstLine="400"/>
        <w:rPr>
          <w:rFonts w:hint="eastAsia" w:asciiTheme="minorEastAsia" w:hAnsiTheme="minorEastAsia" w:eastAsiaTheme="minorEastAsia" w:cstheme="minorEastAsia"/>
          <w:color w:val="444444"/>
          <w:sz w:val="20"/>
          <w:szCs w:val="20"/>
          <w:shd w:val="clear" w:color="auto" w:fill="FFFFFF"/>
        </w:rPr>
      </w:pPr>
      <w:r>
        <w:rPr>
          <w:rFonts w:hint="eastAsia" w:asciiTheme="minorEastAsia" w:hAnsiTheme="minorEastAsia" w:eastAsiaTheme="minorEastAsia" w:cstheme="minorEastAsia"/>
          <w:color w:val="444444"/>
          <w:sz w:val="20"/>
          <w:szCs w:val="20"/>
          <w:shd w:val="clear" w:color="auto" w:fill="FFFFFF"/>
        </w:rPr>
        <w:t>国军标GJB9001C-2017质量管理体系要求由中央军委装备发展部颁布，于2017年5月18日发布，于2017年07月1日其正式实施，国军标GJB9001C-2017主要是在B版标准调整的上增加了相应的篇幅。目前，国军标质量管理体系认证（GJB9001C-2017）是民企进入军工领域的一把钥匙，是民企转型升级的重大选择。如何应用GJB9001C-2017标准原理重塑企业质量管理的架构，提升企业产品质量，提高企业经营效率，在这里，可以得到启发性、颇具建设性的解答。</w:t>
      </w:r>
    </w:p>
    <w:p>
      <w:pPr>
        <w:spacing w:before="80" w:line="240" w:lineRule="auto"/>
        <w:ind w:firstLine="400"/>
        <w:rPr>
          <w:rFonts w:hint="eastAsia" w:asciiTheme="minorEastAsia" w:hAnsiTheme="minorEastAsia" w:eastAsiaTheme="minorEastAsia" w:cstheme="minorEastAsia"/>
          <w:color w:val="444444"/>
          <w:sz w:val="20"/>
          <w:szCs w:val="20"/>
          <w:shd w:val="clear" w:color="auto" w:fill="FFFFFF"/>
        </w:rPr>
      </w:pPr>
      <w:r>
        <w:rPr>
          <w:rFonts w:hint="eastAsia" w:asciiTheme="minorEastAsia" w:hAnsiTheme="minorEastAsia" w:eastAsiaTheme="minorEastAsia" w:cstheme="minorEastAsia"/>
          <w:color w:val="444444"/>
          <w:sz w:val="20"/>
          <w:szCs w:val="20"/>
          <w:shd w:val="clear" w:color="auto" w:fill="FFFFFF"/>
        </w:rPr>
        <w:t xml:space="preserve"> </w:t>
      </w:r>
      <w:bookmarkStart w:id="0" w:name="_GoBack"/>
      <w:bookmarkEnd w:id="0"/>
      <w:r>
        <w:rPr>
          <w:rFonts w:hint="eastAsia" w:asciiTheme="minorEastAsia" w:hAnsiTheme="minorEastAsia" w:eastAsiaTheme="minorEastAsia" w:cstheme="minorEastAsia"/>
          <w:color w:val="444444"/>
          <w:sz w:val="20"/>
          <w:szCs w:val="20"/>
          <w:shd w:val="clear" w:color="auto" w:fill="FFFFFF"/>
        </w:rPr>
        <w:t>如何有效构建国军标GJB9001C-2017体系，如何深入的运用过程方法进行标准审核，成为摆在企业中高层及质量管理人员的新课题。本次研修班将采用二天集中式学习模式，以引导技术为主要培训方法，利用过程金字塔思维模型架构学员的学习轨迹。快速、全面提升研修人员对新版标准的落地式实战应用及审核能力提升学习。</w:t>
      </w:r>
    </w:p>
    <w:p>
      <w:pPr>
        <w:spacing w:before="60" w:after="60" w:line="240" w:lineRule="auto"/>
        <w:jc w:val="left"/>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pPr>
      <w:r>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t>【参加对象】</w:t>
      </w:r>
    </w:p>
    <w:p>
      <w:pPr>
        <w:spacing w:before="80" w:line="240" w:lineRule="auto"/>
        <w:ind w:firstLine="400"/>
        <w:rPr>
          <w:rFonts w:hint="eastAsia" w:asciiTheme="minorEastAsia" w:hAnsiTheme="minorEastAsia" w:eastAsiaTheme="minorEastAsia" w:cstheme="minorEastAsia"/>
          <w:color w:val="444444"/>
          <w:sz w:val="20"/>
          <w:szCs w:val="20"/>
          <w:shd w:val="clear" w:color="auto" w:fill="FFFFFF"/>
        </w:rPr>
      </w:pPr>
      <w:r>
        <w:rPr>
          <w:rFonts w:hint="eastAsia" w:asciiTheme="minorEastAsia" w:hAnsiTheme="minorEastAsia" w:eastAsiaTheme="minorEastAsia" w:cstheme="minorEastAsia"/>
          <w:color w:val="444444"/>
          <w:sz w:val="20"/>
          <w:szCs w:val="20"/>
          <w:shd w:val="clear" w:color="auto" w:fill="FFFFFF"/>
          <w:lang w:val="en-US" w:eastAsia="zh-CN"/>
        </w:rPr>
        <w:t>公司最高管理者，管理者代表，部门负责人，质量工程师，工艺工程师，质量管理</w:t>
      </w:r>
      <w:r>
        <w:rPr>
          <w:rFonts w:hint="eastAsia" w:asciiTheme="minorEastAsia" w:hAnsiTheme="minorEastAsia" w:eastAsiaTheme="minorEastAsia" w:cstheme="minorEastAsia"/>
          <w:color w:val="444444"/>
          <w:sz w:val="20"/>
          <w:szCs w:val="20"/>
          <w:shd w:val="clear" w:color="auto" w:fill="FFFFFF"/>
        </w:rPr>
        <w:t>系统推动人员，</w:t>
      </w:r>
      <w:r>
        <w:rPr>
          <w:rFonts w:hint="eastAsia" w:asciiTheme="minorEastAsia" w:hAnsiTheme="minorEastAsia" w:eastAsiaTheme="minorEastAsia" w:cstheme="minorEastAsia"/>
          <w:color w:val="444444"/>
          <w:sz w:val="20"/>
          <w:szCs w:val="20"/>
          <w:shd w:val="clear" w:color="auto" w:fill="FFFFFF"/>
          <w:lang w:val="en-US" w:eastAsia="zh-CN"/>
        </w:rPr>
        <w:t>内部审核员等</w:t>
      </w:r>
      <w:r>
        <w:rPr>
          <w:rFonts w:hint="eastAsia" w:asciiTheme="minorEastAsia" w:hAnsiTheme="minorEastAsia" w:eastAsiaTheme="minorEastAsia" w:cstheme="minorEastAsia"/>
          <w:color w:val="444444"/>
          <w:sz w:val="20"/>
          <w:szCs w:val="20"/>
          <w:shd w:val="clear" w:color="auto" w:fill="FFFFFF"/>
        </w:rPr>
        <w:t>。</w:t>
      </w:r>
    </w:p>
    <w:p>
      <w:pPr>
        <w:spacing w:before="60" w:after="60" w:line="240" w:lineRule="auto"/>
        <w:jc w:val="left"/>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pPr>
      <w:r>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t>【课程收益】</w:t>
      </w:r>
    </w:p>
    <w:p>
      <w:pPr>
        <w:spacing w:before="80" w:line="240" w:lineRule="auto"/>
        <w:ind w:firstLine="400"/>
        <w:rPr>
          <w:rFonts w:hint="eastAsia" w:asciiTheme="minorEastAsia" w:hAnsiTheme="minorEastAsia" w:eastAsiaTheme="minorEastAsia" w:cstheme="minorEastAsia"/>
          <w:color w:val="444444"/>
          <w:sz w:val="20"/>
          <w:szCs w:val="20"/>
          <w:shd w:val="clear" w:color="auto" w:fill="FFFFFF"/>
        </w:rPr>
      </w:pPr>
      <w:r>
        <w:rPr>
          <w:rFonts w:hint="eastAsia" w:asciiTheme="minorEastAsia" w:hAnsiTheme="minorEastAsia" w:eastAsiaTheme="minorEastAsia" w:cstheme="minorEastAsia"/>
          <w:color w:val="444444"/>
          <w:sz w:val="20"/>
          <w:szCs w:val="20"/>
          <w:shd w:val="clear" w:color="auto" w:fill="FFFFFF"/>
        </w:rPr>
        <w:t>通过学习，让学员全面了解国军标GJB9001C-2017</w:t>
      </w:r>
      <w:r>
        <w:rPr>
          <w:rFonts w:hint="eastAsia" w:asciiTheme="minorEastAsia" w:hAnsiTheme="minorEastAsia" w:eastAsiaTheme="minorEastAsia" w:cstheme="minorEastAsia"/>
          <w:color w:val="444444"/>
          <w:sz w:val="20"/>
          <w:szCs w:val="20"/>
          <w:shd w:val="clear" w:color="auto" w:fill="FFFFFF"/>
          <w:lang w:val="en-US" w:eastAsia="zh-CN"/>
        </w:rPr>
        <w:t>标准内容</w:t>
      </w:r>
      <w:r>
        <w:rPr>
          <w:rFonts w:hint="eastAsia" w:asciiTheme="minorEastAsia" w:hAnsiTheme="minorEastAsia" w:eastAsiaTheme="minorEastAsia" w:cstheme="minorEastAsia"/>
          <w:color w:val="444444"/>
          <w:sz w:val="20"/>
          <w:szCs w:val="20"/>
          <w:shd w:val="clear" w:color="auto" w:fill="FFFFFF"/>
        </w:rPr>
        <w:t>，熟练应用国军标在内部</w:t>
      </w:r>
      <w:r>
        <w:rPr>
          <w:rFonts w:hint="eastAsia" w:asciiTheme="minorEastAsia" w:hAnsiTheme="minorEastAsia" w:cstheme="minorEastAsia"/>
          <w:color w:val="444444"/>
          <w:sz w:val="20"/>
          <w:szCs w:val="20"/>
          <w:shd w:val="clear" w:color="auto" w:fill="FFFFFF"/>
          <w:lang w:val="en-US" w:eastAsia="zh-CN"/>
        </w:rPr>
        <w:t>实施</w:t>
      </w:r>
      <w:r>
        <w:rPr>
          <w:rFonts w:hint="eastAsia" w:asciiTheme="minorEastAsia" w:hAnsiTheme="minorEastAsia" w:eastAsiaTheme="minorEastAsia" w:cstheme="minorEastAsia"/>
          <w:color w:val="444444"/>
          <w:sz w:val="20"/>
          <w:szCs w:val="20"/>
          <w:shd w:val="clear" w:color="auto" w:fill="FFFFFF"/>
        </w:rPr>
        <w:t>审核</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掌握审核策划的方法</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掌握检查清单的编制方法</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了解审核证据的获取方法和技巧的运用</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提高不合格项判定的准确性和有效性</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提高不合格项报告的编写能力</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提升审核员沟通和提问技巧</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基于风险的</w:t>
      </w:r>
      <w:r>
        <w:rPr>
          <w:rFonts w:hint="eastAsia" w:asciiTheme="minorEastAsia" w:hAnsiTheme="minorEastAsia" w:cstheme="minorEastAsia"/>
          <w:color w:val="444444"/>
          <w:sz w:val="20"/>
          <w:szCs w:val="20"/>
          <w:shd w:val="clear" w:color="auto" w:fill="FFFFFF"/>
          <w:lang w:val="en-US" w:eastAsia="zh-CN"/>
        </w:rPr>
        <w:t>思维</w:t>
      </w:r>
      <w:r>
        <w:rPr>
          <w:rFonts w:hint="eastAsia" w:asciiTheme="minorEastAsia" w:hAnsiTheme="minorEastAsia" w:eastAsiaTheme="minorEastAsia" w:cstheme="minorEastAsia"/>
          <w:color w:val="444444"/>
          <w:sz w:val="20"/>
          <w:szCs w:val="20"/>
          <w:shd w:val="clear" w:color="auto" w:fill="FFFFFF"/>
        </w:rPr>
        <w:t>和寻找持续改进的机</w:t>
      </w:r>
      <w:r>
        <w:rPr>
          <w:rFonts w:hint="eastAsia" w:asciiTheme="minorEastAsia" w:hAnsiTheme="minorEastAsia" w:cstheme="minorEastAsia"/>
          <w:color w:val="444444"/>
          <w:sz w:val="20"/>
          <w:szCs w:val="20"/>
          <w:shd w:val="clear" w:color="auto" w:fill="FFFFFF"/>
          <w:lang w:val="en-US" w:eastAsia="zh-CN"/>
        </w:rPr>
        <w:t>会</w:t>
      </w:r>
      <w:r>
        <w:rPr>
          <w:rFonts w:hint="eastAsia" w:asciiTheme="minorEastAsia" w:hAnsiTheme="minorEastAsia" w:eastAsiaTheme="minorEastAsia" w:cstheme="minorEastAsia"/>
          <w:color w:val="444444"/>
          <w:sz w:val="20"/>
          <w:szCs w:val="20"/>
          <w:shd w:val="clear" w:color="auto" w:fill="FFFFFF"/>
        </w:rPr>
        <w:t>。</w:t>
      </w:r>
    </w:p>
    <w:p>
      <w:pPr>
        <w:spacing w:before="80" w:line="240" w:lineRule="auto"/>
        <w:ind w:firstLine="400"/>
        <w:rPr>
          <w:rFonts w:hint="eastAsia" w:asciiTheme="minorEastAsia" w:hAnsiTheme="minorEastAsia" w:eastAsiaTheme="minorEastAsia" w:cstheme="minorEastAsia"/>
          <w:color w:val="444444"/>
          <w:sz w:val="20"/>
          <w:szCs w:val="20"/>
          <w:shd w:val="clear" w:color="auto" w:fill="FFFFFF"/>
          <w:lang w:val="en-US" w:eastAsia="zh-CN"/>
        </w:rPr>
      </w:pPr>
    </w:p>
    <w:p>
      <w:pPr>
        <w:spacing w:before="60" w:after="60" w:line="240" w:lineRule="auto"/>
        <w:jc w:val="left"/>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pPr>
      <w:r>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t>【课程大纲】</w:t>
      </w:r>
    </w:p>
    <w:p>
      <w:pPr>
        <w:spacing w:before="40" w:after="40" w:line="240" w:lineRule="auto"/>
        <w:rPr>
          <w:rFonts w:hint="eastAsia" w:asciiTheme="minorEastAsia" w:hAnsiTheme="minorEastAsia" w:eastAsiaTheme="minorEastAsia" w:cstheme="minorEastAsia"/>
          <w:b/>
          <w:sz w:val="22"/>
        </w:rPr>
      </w:pPr>
      <w:r>
        <w:rPr>
          <w:rFonts w:hint="eastAsia" w:asciiTheme="minorEastAsia" w:hAnsiTheme="minorEastAsia" w:eastAsiaTheme="minorEastAsia" w:cstheme="minorEastAsia"/>
          <w:b/>
          <w:sz w:val="22"/>
        </w:rPr>
        <w:t>第一部分：标准介绍</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GB/T19001-2016标准修订的关键目标及主要变化</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GJB9001C标准修订背景、原则及主要变化</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武器装备质量管理体系 要求讲解</w:t>
      </w:r>
    </w:p>
    <w:p>
      <w:pPr>
        <w:spacing w:before="80" w:line="240" w:lineRule="auto"/>
        <w:ind w:firstLine="400"/>
        <w:rPr>
          <w:rFonts w:hint="eastAsia" w:asciiTheme="minorEastAsia" w:hAnsiTheme="minorEastAsia" w:eastAsiaTheme="minorEastAsia" w:cstheme="minorEastAsia"/>
          <w:sz w:val="22"/>
        </w:rPr>
        <w:sectPr>
          <w:pgSz w:w="11906" w:h="16838"/>
          <w:pgMar w:top="170" w:right="1066" w:bottom="454" w:left="960" w:header="851" w:footer="972" w:gutter="0"/>
          <w:cols w:space="425" w:num="1"/>
          <w:docGrid w:type="lines" w:linePitch="312" w:charSpace="0"/>
        </w:sectPr>
      </w:pPr>
    </w:p>
    <w:p>
      <w:pPr>
        <w:spacing w:before="80" w:line="240" w:lineRule="auto"/>
        <w:ind w:firstLine="400"/>
        <w:rPr>
          <w:rFonts w:hint="eastAsia" w:asciiTheme="minorEastAsia" w:hAnsiTheme="minorEastAsia" w:cstheme="minorEastAsia"/>
          <w:sz w:val="22"/>
          <w:lang w:val="en-US" w:eastAsia="zh-CN"/>
        </w:rPr>
      </w:pPr>
      <w:r>
        <w:rPr>
          <w:rFonts w:hint="eastAsia" w:asciiTheme="minorEastAsia" w:hAnsiTheme="minorEastAsia" w:cstheme="minorEastAsia"/>
          <w:sz w:val="22"/>
          <w:lang w:val="en-US" w:eastAsia="zh-CN"/>
        </w:rPr>
        <w:t>0.引言</w:t>
      </w:r>
    </w:p>
    <w:p>
      <w:pPr>
        <w:spacing w:before="80" w:line="240" w:lineRule="auto"/>
        <w:ind w:firstLine="400"/>
        <w:rPr>
          <w:rFonts w:hint="default" w:asciiTheme="minorEastAsia" w:hAnsiTheme="minorEastAsia" w:cstheme="minorEastAsia"/>
          <w:sz w:val="22"/>
          <w:lang w:val="en-US" w:eastAsia="zh-CN"/>
        </w:rPr>
      </w:pPr>
      <w:r>
        <w:rPr>
          <w:rFonts w:hint="eastAsia" w:asciiTheme="minorEastAsia" w:hAnsiTheme="minorEastAsia" w:cstheme="minorEastAsia"/>
          <w:sz w:val="22"/>
          <w:lang w:val="en-US" w:eastAsia="zh-CN"/>
        </w:rPr>
        <w:t>0.1.总则</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0.2 管理原则</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0.3过程方法</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0.4与其他管理体系标准的关系</w:t>
      </w:r>
    </w:p>
    <w:p>
      <w:pPr>
        <w:spacing w:before="80" w:line="240" w:lineRule="auto"/>
        <w:ind w:left="0" w:leftChars="0" w:firstLine="420" w:firstLineChars="0"/>
        <w:rPr>
          <w:rFonts w:hint="eastAsia" w:ascii="楷体" w:hAnsi="楷体" w:eastAsia="楷体" w:cs="楷体"/>
          <w:b/>
          <w:bCs/>
          <w:sz w:val="22"/>
        </w:rPr>
      </w:pPr>
      <w:r>
        <w:rPr>
          <w:rFonts w:hint="eastAsia" w:ascii="楷体" w:hAnsi="楷体" w:eastAsia="楷体" w:cs="楷体"/>
          <w:b/>
          <w:bCs/>
          <w:sz w:val="22"/>
        </w:rPr>
        <w:t>0.5本标准武器装备特殊要求的考虑</w:t>
      </w:r>
      <w:r>
        <w:rPr>
          <w:rFonts w:hint="eastAsia" w:ascii="楷体" w:hAnsi="楷体" w:eastAsia="楷体" w:cs="楷体"/>
          <w:b/>
          <w:bCs/>
          <w:sz w:val="22"/>
        </w:rPr>
        <w:tab/>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1</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范围</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2</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规范性引用文件</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3</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术语和定义</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4</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组织的背景</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4.1</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理解组织及其背景</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4.2</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理解相关方的需求和期望</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4.3</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质量管理体系范围的确定</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4.4</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质量管理体系</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5</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领导作用</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5.1</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领导作用和承诺</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5.2</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质量方针</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5.3</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组织的作用、职责和权限</w:t>
      </w:r>
    </w:p>
    <w:p>
      <w:pPr>
        <w:spacing w:before="80" w:line="240" w:lineRule="auto"/>
        <w:ind w:firstLine="400"/>
        <w:rPr>
          <w:rFonts w:hint="eastAsia" w:asciiTheme="minorEastAsia" w:hAnsiTheme="minorEastAsia" w:eastAsiaTheme="minorEastAsia" w:cstheme="minorEastAsia"/>
          <w:sz w:val="22"/>
        </w:rPr>
      </w:pP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6</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策划</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6.1</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风险和机遇的应对措施</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6.2</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质量目标及其实施的策划</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6.3</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变更的策划</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7</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支持</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7.1</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资源</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7.2</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能力</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7.3</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意识</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7.4</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沟通</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7.5</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形成文件的信息</w:t>
      </w:r>
    </w:p>
    <w:p>
      <w:pPr>
        <w:spacing w:before="80" w:line="240" w:lineRule="auto"/>
        <w:ind w:left="0" w:leftChars="0" w:firstLine="640" w:firstLineChars="0"/>
        <w:rPr>
          <w:rFonts w:hint="eastAsia" w:ascii="楷体" w:hAnsi="楷体" w:eastAsia="楷体" w:cs="楷体"/>
          <w:b/>
          <w:bCs/>
          <w:sz w:val="22"/>
        </w:rPr>
      </w:pPr>
      <w:r>
        <w:rPr>
          <w:rFonts w:hint="eastAsia" w:ascii="楷体" w:hAnsi="楷体" w:eastAsia="楷体" w:cs="楷体"/>
          <w:b/>
          <w:bCs/>
          <w:sz w:val="22"/>
        </w:rPr>
        <w:t>7.6</w:t>
      </w:r>
      <w:r>
        <w:rPr>
          <w:rFonts w:hint="eastAsia" w:ascii="楷体" w:hAnsi="楷体" w:eastAsia="楷体" w:cs="楷体"/>
          <w:b/>
          <w:bCs/>
          <w:sz w:val="22"/>
        </w:rPr>
        <w:tab/>
      </w:r>
      <w:r>
        <w:rPr>
          <w:rFonts w:hint="eastAsia" w:ascii="楷体" w:hAnsi="楷体" w:eastAsia="楷体" w:cs="楷体"/>
          <w:b/>
          <w:bCs/>
          <w:sz w:val="22"/>
        </w:rPr>
        <w:t>质量信息</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8</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运行</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8.1</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运行的策划和控制</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8.2</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产品和服务要求的确定</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8.3</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产品和服务的设计与开发</w:t>
      </w:r>
    </w:p>
    <w:p>
      <w:pPr>
        <w:spacing w:before="80" w:line="240" w:lineRule="auto"/>
        <w:ind w:left="0" w:leftChars="0" w:firstLine="640" w:firstLineChars="0"/>
        <w:rPr>
          <w:rFonts w:hint="eastAsia" w:ascii="楷体" w:hAnsi="楷体" w:eastAsia="楷体" w:cs="楷体"/>
          <w:b/>
          <w:bCs/>
          <w:sz w:val="22"/>
        </w:rPr>
      </w:pPr>
      <w:r>
        <w:rPr>
          <w:rFonts w:hint="eastAsia" w:ascii="楷体" w:hAnsi="楷体" w:eastAsia="楷体" w:cs="楷体"/>
          <w:b/>
          <w:bCs/>
          <w:sz w:val="22"/>
        </w:rPr>
        <w:t>8.3.7</w:t>
      </w:r>
      <w:r>
        <w:rPr>
          <w:rFonts w:hint="eastAsia" w:ascii="楷体" w:hAnsi="楷体" w:eastAsia="楷体" w:cs="楷体"/>
          <w:b/>
          <w:bCs/>
          <w:sz w:val="22"/>
        </w:rPr>
        <w:tab/>
      </w:r>
      <w:r>
        <w:rPr>
          <w:rFonts w:hint="eastAsia" w:ascii="楷体" w:hAnsi="楷体" w:eastAsia="楷体" w:cs="楷体"/>
          <w:b/>
          <w:bCs/>
          <w:sz w:val="22"/>
        </w:rPr>
        <w:t>新品试制</w:t>
      </w:r>
    </w:p>
    <w:p>
      <w:pPr>
        <w:spacing w:before="80" w:line="240" w:lineRule="auto"/>
        <w:ind w:left="0" w:leftChars="0" w:firstLine="640" w:firstLineChars="0"/>
        <w:rPr>
          <w:rFonts w:hint="eastAsia" w:ascii="楷体" w:hAnsi="楷体" w:eastAsia="楷体" w:cs="楷体"/>
          <w:b/>
          <w:bCs/>
          <w:sz w:val="22"/>
        </w:rPr>
      </w:pPr>
      <w:r>
        <w:rPr>
          <w:rFonts w:hint="eastAsia" w:ascii="楷体" w:hAnsi="楷体" w:eastAsia="楷体" w:cs="楷体"/>
          <w:b/>
          <w:bCs/>
          <w:sz w:val="22"/>
        </w:rPr>
        <w:t>8.3.8</w:t>
      </w:r>
      <w:r>
        <w:rPr>
          <w:rFonts w:hint="eastAsia" w:ascii="楷体" w:hAnsi="楷体" w:eastAsia="楷体" w:cs="楷体"/>
          <w:b/>
          <w:bCs/>
          <w:sz w:val="22"/>
        </w:rPr>
        <w:tab/>
      </w:r>
      <w:r>
        <w:rPr>
          <w:rFonts w:hint="eastAsia" w:ascii="楷体" w:hAnsi="楷体" w:eastAsia="楷体" w:cs="楷体"/>
          <w:b/>
          <w:bCs/>
          <w:sz w:val="22"/>
        </w:rPr>
        <w:t>试验控制</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8.4</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外部供应产品和服务的控制</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8.5</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产品和服务提供</w:t>
      </w:r>
    </w:p>
    <w:p>
      <w:pPr>
        <w:spacing w:before="80" w:line="240" w:lineRule="auto"/>
        <w:ind w:left="0" w:leftChars="0" w:firstLine="640" w:firstLineChars="0"/>
        <w:rPr>
          <w:rFonts w:hint="eastAsia" w:ascii="楷体" w:hAnsi="楷体" w:eastAsia="楷体" w:cs="楷体"/>
          <w:b/>
          <w:bCs/>
          <w:sz w:val="22"/>
        </w:rPr>
      </w:pPr>
      <w:r>
        <w:rPr>
          <w:rFonts w:hint="eastAsia" w:ascii="楷体" w:hAnsi="楷体" w:eastAsia="楷体" w:cs="楷体"/>
          <w:b/>
          <w:bCs/>
          <w:sz w:val="22"/>
        </w:rPr>
        <w:t>8.5.7</w:t>
      </w:r>
      <w:r>
        <w:rPr>
          <w:rFonts w:hint="eastAsia" w:ascii="楷体" w:hAnsi="楷体" w:eastAsia="楷体" w:cs="楷体"/>
          <w:b/>
          <w:bCs/>
          <w:sz w:val="22"/>
        </w:rPr>
        <w:tab/>
      </w:r>
      <w:r>
        <w:rPr>
          <w:rFonts w:hint="eastAsia" w:ascii="楷体" w:hAnsi="楷体" w:eastAsia="楷体" w:cs="楷体"/>
          <w:b/>
          <w:bCs/>
          <w:sz w:val="22"/>
        </w:rPr>
        <w:t>关键过程</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8.6</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产品和服务的放行</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8.7</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不合格过程输出、产品和服务的控制</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9</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绩效评价</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9.1</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监视、测量、分析和评价</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9.2</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内部审核</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9.3</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管理评审</w:t>
      </w:r>
    </w:p>
    <w:p>
      <w:pPr>
        <w:spacing w:before="80" w:line="240" w:lineRule="auto"/>
        <w:ind w:left="0" w:leftChars="0" w:firstLine="640" w:firstLineChars="0"/>
        <w:rPr>
          <w:rFonts w:hint="eastAsia" w:ascii="楷体" w:hAnsi="楷体" w:eastAsia="楷体" w:cs="楷体"/>
          <w:b/>
          <w:bCs/>
          <w:sz w:val="22"/>
        </w:rPr>
      </w:pPr>
      <w:r>
        <w:rPr>
          <w:rFonts w:hint="eastAsia" w:ascii="楷体" w:hAnsi="楷体" w:eastAsia="楷体" w:cs="楷体"/>
          <w:b/>
          <w:bCs/>
          <w:sz w:val="22"/>
        </w:rPr>
        <w:t>质量经济性</w:t>
      </w:r>
    </w:p>
    <w:p>
      <w:pPr>
        <w:spacing w:before="80" w:line="240" w:lineRule="auto"/>
        <w:ind w:left="0" w:leftChars="0" w:firstLine="640" w:firstLineChars="0"/>
        <w:rPr>
          <w:rFonts w:hint="eastAsia" w:ascii="楷体" w:hAnsi="楷体" w:eastAsia="楷体" w:cs="楷体"/>
          <w:b/>
          <w:bCs/>
          <w:sz w:val="22"/>
        </w:rPr>
      </w:pPr>
      <w:r>
        <w:rPr>
          <w:rFonts w:hint="eastAsia" w:ascii="楷体" w:hAnsi="楷体" w:eastAsia="楷体" w:cs="楷体"/>
          <w:b/>
          <w:bCs/>
          <w:sz w:val="22"/>
        </w:rPr>
        <w:t>质量问题归零管理</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10</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改进</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10.1</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总则</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10.2</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不合格和纠正措施</w:t>
      </w:r>
    </w:p>
    <w:p>
      <w:pPr>
        <w:spacing w:before="80" w:line="240" w:lineRule="auto"/>
        <w:ind w:left="0" w:leftChars="0" w:firstLine="640" w:firstLineChars="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10.3</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持续改进</w:t>
      </w:r>
    </w:p>
    <w:p>
      <w:pPr>
        <w:spacing w:before="80" w:line="240" w:lineRule="auto"/>
        <w:ind w:firstLine="400"/>
        <w:rPr>
          <w:rFonts w:hint="eastAsia" w:asciiTheme="minorEastAsia" w:hAnsiTheme="minorEastAsia" w:eastAsiaTheme="minorEastAsia" w:cstheme="minorEastAsia"/>
          <w:sz w:val="22"/>
        </w:rPr>
        <w:sectPr>
          <w:type w:val="continuous"/>
          <w:pgSz w:w="11906" w:h="16838"/>
          <w:pgMar w:top="600" w:right="1066" w:bottom="478" w:left="960" w:header="851" w:footer="992" w:gutter="0"/>
          <w:cols w:equalWidth="0" w:num="2">
            <w:col w:w="4727" w:space="425"/>
            <w:col w:w="4727"/>
          </w:cols>
          <w:docGrid w:type="lines" w:linePitch="312" w:charSpace="0"/>
        </w:sectPr>
      </w:pPr>
    </w:p>
    <w:p>
      <w:pPr>
        <w:spacing w:before="80" w:line="240" w:lineRule="auto"/>
        <w:ind w:firstLine="400"/>
        <w:rPr>
          <w:rFonts w:hint="eastAsia" w:asciiTheme="minorEastAsia" w:hAnsiTheme="minorEastAsia" w:eastAsiaTheme="minorEastAsia" w:cstheme="minorEastAsia"/>
          <w:sz w:val="22"/>
        </w:rPr>
      </w:pPr>
    </w:p>
    <w:p>
      <w:pPr>
        <w:spacing w:before="40" w:after="40" w:line="240" w:lineRule="auto"/>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b/>
          <w:sz w:val="22"/>
        </w:rPr>
        <w:t>第二部分：审核知识、方法与技巧的讲解与运用</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lang w:val="en-US" w:eastAsia="zh-CN"/>
        </w:rPr>
        <w:t>1.</w:t>
      </w:r>
      <w:r>
        <w:rPr>
          <w:rFonts w:hint="eastAsia" w:asciiTheme="minorEastAsia" w:hAnsiTheme="minorEastAsia" w:eastAsiaTheme="minorEastAsia" w:cstheme="minorEastAsia"/>
          <w:sz w:val="22"/>
        </w:rPr>
        <w:t>管理体系审核概论</w:t>
      </w:r>
    </w:p>
    <w:p>
      <w:pPr>
        <w:spacing w:before="80" w:line="240" w:lineRule="auto"/>
        <w:ind w:left="420" w:leftChars="0" w:firstLine="220" w:firstLineChars="10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 xml:space="preserve"> 1.1 审核概论</w:t>
      </w:r>
    </w:p>
    <w:p>
      <w:pPr>
        <w:spacing w:before="80" w:line="240" w:lineRule="auto"/>
        <w:ind w:left="420" w:leftChars="0" w:firstLine="220" w:firstLineChars="10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1.2 审核方案</w:t>
      </w:r>
    </w:p>
    <w:p>
      <w:pPr>
        <w:spacing w:before="80" w:line="240" w:lineRule="auto"/>
        <w:ind w:left="420" w:leftChars="0" w:firstLine="220" w:firstLineChars="10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1.3 内部审核员</w:t>
      </w:r>
    </w:p>
    <w:p>
      <w:pPr>
        <w:spacing w:before="80" w:line="240" w:lineRule="auto"/>
        <w:ind w:firstLine="420" w:firstLineChars="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2.内部质量体系审核</w:t>
      </w:r>
    </w:p>
    <w:p>
      <w:pPr>
        <w:spacing w:before="80" w:line="240" w:lineRule="auto"/>
        <w:ind w:firstLine="880" w:firstLineChars="40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2.1 审核前的准备</w:t>
      </w:r>
    </w:p>
    <w:p>
      <w:pPr>
        <w:spacing w:before="80" w:line="240" w:lineRule="auto"/>
        <w:ind w:firstLine="420" w:firstLineChars="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ab/>
      </w:r>
      <w:r>
        <w:rPr>
          <w:rFonts w:hint="eastAsia" w:asciiTheme="minorEastAsia" w:hAnsiTheme="minorEastAsia" w:eastAsiaTheme="minorEastAsia" w:cstheme="minorEastAsia"/>
          <w:sz w:val="22"/>
          <w:lang w:val="en-US" w:eastAsia="zh-CN"/>
        </w:rPr>
        <w:t>2.2 现场审核实施</w:t>
      </w:r>
    </w:p>
    <w:p>
      <w:pPr>
        <w:spacing w:before="80" w:line="240" w:lineRule="auto"/>
        <w:ind w:firstLine="420" w:firstLineChars="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ab/>
      </w:r>
      <w:r>
        <w:rPr>
          <w:rFonts w:hint="eastAsia" w:asciiTheme="minorEastAsia" w:hAnsiTheme="minorEastAsia" w:eastAsiaTheme="minorEastAsia" w:cstheme="minorEastAsia"/>
          <w:sz w:val="22"/>
          <w:lang w:val="en-US" w:eastAsia="zh-CN"/>
        </w:rPr>
        <w:t>2.3 审核报告及纠正措施验证</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lang w:val="en-US" w:eastAsia="zh-CN"/>
        </w:rPr>
        <w:t>3.</w:t>
      </w:r>
      <w:r>
        <w:rPr>
          <w:rFonts w:hint="eastAsia" w:asciiTheme="minorEastAsia" w:hAnsiTheme="minorEastAsia" w:eastAsiaTheme="minorEastAsia" w:cstheme="minorEastAsia"/>
          <w:sz w:val="22"/>
        </w:rPr>
        <w:t>审核计划编制练习和讲评、审核清单编制练习和讲评</w:t>
      </w:r>
      <w:r>
        <w:rPr>
          <w:rFonts w:hint="eastAsia" w:asciiTheme="minorEastAsia" w:hAnsiTheme="minorEastAsia" w:eastAsiaTheme="minorEastAsia" w:cstheme="minorEastAsia"/>
          <w:sz w:val="22"/>
          <w:lang w:val="en-US" w:eastAsia="zh-CN"/>
        </w:rPr>
        <w:t>,</w:t>
      </w:r>
      <w:r>
        <w:rPr>
          <w:rFonts w:hint="eastAsia" w:asciiTheme="minorEastAsia" w:hAnsiTheme="minorEastAsia" w:eastAsiaTheme="minorEastAsia" w:cstheme="minorEastAsia"/>
          <w:sz w:val="22"/>
        </w:rPr>
        <w:t>模拟审核练习、不合格项判定研讨</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不合格项报告编写和讲评</w:t>
      </w:r>
    </w:p>
    <w:p>
      <w:pPr>
        <w:numPr>
          <w:ilvl w:val="0"/>
          <w:numId w:val="1"/>
        </w:num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讨论&amp;答疑</w:t>
      </w:r>
    </w:p>
    <w:p>
      <w:pPr>
        <w:numPr>
          <w:ilvl w:val="0"/>
          <w:numId w:val="1"/>
        </w:num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lang w:val="en-US" w:eastAsia="zh-CN"/>
        </w:rPr>
        <w:t>考试</w:t>
      </w:r>
    </w:p>
    <w:p>
      <w:pPr>
        <w:numPr>
          <w:ilvl w:val="0"/>
          <w:numId w:val="0"/>
        </w:numPr>
        <w:spacing w:before="80" w:line="240" w:lineRule="auto"/>
        <w:rPr>
          <w:rFonts w:hint="eastAsia" w:asciiTheme="minorEastAsia" w:hAnsiTheme="minorEastAsia" w:eastAsiaTheme="minorEastAsia" w:cstheme="minorEastAsia"/>
          <w:sz w:val="22"/>
        </w:rPr>
      </w:pPr>
    </w:p>
    <w:sectPr>
      <w:type w:val="continuous"/>
      <w:pgSz w:w="11906" w:h="16838"/>
      <w:pgMar w:top="600" w:right="1066" w:bottom="58" w:left="9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Black">
    <w:panose1 w:val="020B0A04020102020204"/>
    <w:charset w:val="00"/>
    <w:family w:val="swiss"/>
    <w:pitch w:val="default"/>
    <w:sig w:usb0="A00002AF" w:usb1="400078FB" w:usb2="00000000" w:usb3="00000000" w:csb0="6000009F" w:csb1="DFD70000"/>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EFF" w:usb1="C000785B" w:usb2="00000009" w:usb3="00000000" w:csb0="400001FF" w:csb1="FFFF0000"/>
  </w:font>
  <w:font w:name="Calibri Light">
    <w:panose1 w:val="020F0302020204030204"/>
    <w:charset w:val="00"/>
    <w:family w:val="auto"/>
    <w:pitch w:val="default"/>
    <w:sig w:usb0="E4002EFF" w:usb1="C0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529D83"/>
    <w:multiLevelType w:val="singleLevel"/>
    <w:tmpl w:val="E9529D83"/>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2MzJhZDllMzY3MzFiYjIzZTcxZjlhYjM0M2NmMzMifQ=="/>
  </w:docVars>
  <w:rsids>
    <w:rsidRoot w:val="0BBA05CB"/>
    <w:rsid w:val="002B4E22"/>
    <w:rsid w:val="007D7E8A"/>
    <w:rsid w:val="00A5332D"/>
    <w:rsid w:val="00D624C7"/>
    <w:rsid w:val="01674737"/>
    <w:rsid w:val="06BE1858"/>
    <w:rsid w:val="0B674BC3"/>
    <w:rsid w:val="0BBA05CB"/>
    <w:rsid w:val="13547E2D"/>
    <w:rsid w:val="16964E77"/>
    <w:rsid w:val="1EC069B6"/>
    <w:rsid w:val="1EE12A2D"/>
    <w:rsid w:val="270C7BED"/>
    <w:rsid w:val="2750551B"/>
    <w:rsid w:val="29B5208B"/>
    <w:rsid w:val="323C4152"/>
    <w:rsid w:val="3D3A0EF6"/>
    <w:rsid w:val="3FD35035"/>
    <w:rsid w:val="421461AF"/>
    <w:rsid w:val="49FB0653"/>
    <w:rsid w:val="4EAC424E"/>
    <w:rsid w:val="50F62F0D"/>
    <w:rsid w:val="51190D92"/>
    <w:rsid w:val="512D0B47"/>
    <w:rsid w:val="54A11C5E"/>
    <w:rsid w:val="5BFC6686"/>
    <w:rsid w:val="61720C30"/>
    <w:rsid w:val="63566AB5"/>
    <w:rsid w:val="6457065D"/>
    <w:rsid w:val="64F36362"/>
    <w:rsid w:val="666A0D76"/>
    <w:rsid w:val="67086BED"/>
    <w:rsid w:val="6E3E428D"/>
    <w:rsid w:val="76262D9C"/>
    <w:rsid w:val="78E873F4"/>
    <w:rsid w:val="7D6726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kern w:val="2"/>
      <w:sz w:val="18"/>
      <w:szCs w:val="18"/>
    </w:rPr>
  </w:style>
  <w:style w:type="character" w:customStyle="1" w:styleId="7">
    <w:name w:val="页脚 字符"/>
    <w:basedOn w:val="5"/>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1420</Words>
  <Characters>1688</Characters>
  <Lines>1</Lines>
  <Paragraphs>1</Paragraphs>
  <TotalTime>48</TotalTime>
  <ScaleCrop>false</ScaleCrop>
  <LinksUpToDate>false</LinksUpToDate>
  <CharactersWithSpaces>1974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2017-05-17T13:20:00Z</dcterms:created>
  <dc:creator>Administrator</dc:creator>
  <cp:lastModifiedBy>waselee</cp:lastModifiedBy>
  <dcterms:modified xsi:type="dcterms:W3CDTF">2024-05-07T13:57:51Z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8C9272BD07984565B4D8576B88291AEA_12</vt:lpwstr>
  </property>
</Properties>
</file>